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15A9B" w14:textId="77777777" w:rsidR="001E22E9" w:rsidRPr="001E22E9" w:rsidRDefault="001E22E9" w:rsidP="001E22E9">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1E22E9">
        <w:rPr>
          <w:rFonts w:ascii="Noto Sans" w:eastAsia="Times New Roman" w:hAnsi="Noto Sans" w:cs="Noto Sans"/>
          <w:caps/>
          <w:color w:val="171617"/>
          <w:spacing w:val="10"/>
          <w:kern w:val="36"/>
          <w:sz w:val="48"/>
          <w:szCs w:val="48"/>
          <w:lang w:val="en-IE" w:eastAsia="en-IE"/>
        </w:rPr>
        <w:t>A MEDIEVAL FARMSTEAD AT BALLYBUCKLEY, BREE?</w:t>
      </w:r>
    </w:p>
    <w:p w14:paraId="606DC4DF" w14:textId="77777777" w:rsidR="001E22E9" w:rsidRPr="001E22E9" w:rsidRDefault="001E22E9" w:rsidP="001E22E9">
      <w:pPr>
        <w:shd w:val="clear" w:color="auto" w:fill="FFFFFF"/>
        <w:spacing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noProof/>
          <w:color w:val="3E3F40"/>
          <w:sz w:val="24"/>
          <w:szCs w:val="24"/>
          <w:lang w:val="en-IE" w:eastAsia="en-IE"/>
        </w:rPr>
        <w:drawing>
          <wp:inline distT="0" distB="0" distL="0" distR="0" wp14:anchorId="042B1026" wp14:editId="03173522">
            <wp:extent cx="4572000" cy="30384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0" cy="3038475"/>
                    </a:xfrm>
                    <a:prstGeom prst="rect">
                      <a:avLst/>
                    </a:prstGeom>
                    <a:noFill/>
                    <a:ln>
                      <a:noFill/>
                    </a:ln>
                  </pic:spPr>
                </pic:pic>
              </a:graphicData>
            </a:graphic>
          </wp:inline>
        </w:drawing>
      </w:r>
    </w:p>
    <w:p w14:paraId="6E2693AC"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color w:val="3E3F40"/>
          <w:sz w:val="24"/>
          <w:szCs w:val="24"/>
          <w:lang w:val="en-IE" w:eastAsia="en-IE"/>
        </w:rPr>
        <w:t xml:space="preserve">In 2007 the parish’s first archaeological investigation was carried out at Ballybuckley, Bree (see site location map at the bottom). It revealed evidence of medieval activity, possibly representing a farmstead, in the southern part of the townland, close to the </w:t>
      </w:r>
      <w:proofErr w:type="spellStart"/>
      <w:r w:rsidRPr="001E22E9">
        <w:rPr>
          <w:rFonts w:ascii="Roboto" w:eastAsia="Times New Roman" w:hAnsi="Roboto" w:cs="Times New Roman"/>
          <w:color w:val="3E3F40"/>
          <w:sz w:val="24"/>
          <w:szCs w:val="24"/>
          <w:lang w:val="en-IE" w:eastAsia="en-IE"/>
        </w:rPr>
        <w:t>Knockduff</w:t>
      </w:r>
      <w:proofErr w:type="spellEnd"/>
      <w:r w:rsidRPr="001E22E9">
        <w:rPr>
          <w:rFonts w:ascii="Roboto" w:eastAsia="Times New Roman" w:hAnsi="Roboto" w:cs="Times New Roman"/>
          <w:color w:val="3E3F40"/>
          <w:sz w:val="24"/>
          <w:szCs w:val="24"/>
          <w:lang w:val="en-IE" w:eastAsia="en-IE"/>
        </w:rPr>
        <w:t xml:space="preserve"> lane. This archaeological work was carried out in advance of a proposed quarry development (since stopped) and it took the form of a geophysical survey and subsequent test-trenching (</w:t>
      </w:r>
      <w:hyperlink r:id="rId5" w:tgtFrame="_blank" w:history="1">
        <w:r w:rsidRPr="001E22E9">
          <w:rPr>
            <w:rFonts w:ascii="Roboto" w:eastAsia="Times New Roman" w:hAnsi="Roboto" w:cs="Times New Roman"/>
            <w:color w:val="000000"/>
            <w:sz w:val="24"/>
            <w:szCs w:val="24"/>
            <w:u w:val="single"/>
            <w:shd w:val="clear" w:color="auto" w:fill="FFDE00"/>
            <w:lang w:val="en-IE" w:eastAsia="en-IE"/>
          </w:rPr>
          <w:t>more information can be found here</w:t>
        </w:r>
      </w:hyperlink>
      <w:r w:rsidRPr="001E22E9">
        <w:rPr>
          <w:rFonts w:ascii="Roboto" w:eastAsia="Times New Roman" w:hAnsi="Roboto" w:cs="Times New Roman"/>
          <w:color w:val="3E3F40"/>
          <w:sz w:val="24"/>
          <w:szCs w:val="24"/>
          <w:lang w:val="en-IE" w:eastAsia="en-IE"/>
        </w:rPr>
        <w:t>). A geophysical survey is a form of ground penetrating radar that allows archaeologists to see features hidden below the topsoil. At Ballybuckley the survey identified a number of geophysical anomalies (potential archaeological features) and these were subsequently investigated by opening test-trenches across them.</w:t>
      </w:r>
    </w:p>
    <w:p w14:paraId="58FC2691"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b/>
          <w:bCs/>
          <w:color w:val="3E3F40"/>
          <w:sz w:val="24"/>
          <w:szCs w:val="24"/>
          <w:lang w:val="en-IE" w:eastAsia="en-IE"/>
        </w:rPr>
        <w:t>What is archaeological test-trenching?</w:t>
      </w:r>
    </w:p>
    <w:p w14:paraId="5C6076E5" w14:textId="77777777" w:rsidR="001E22E9" w:rsidRPr="001E22E9" w:rsidRDefault="001E22E9" w:rsidP="001E22E9">
      <w:pPr>
        <w:shd w:val="clear" w:color="auto" w:fill="FFFFFF"/>
        <w:spacing w:after="0"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noProof/>
          <w:color w:val="0000FF"/>
          <w:sz w:val="24"/>
          <w:szCs w:val="24"/>
          <w:lang w:val="en-IE" w:eastAsia="en-IE"/>
        </w:rPr>
        <w:lastRenderedPageBreak/>
        <w:drawing>
          <wp:inline distT="0" distB="0" distL="0" distR="0" wp14:anchorId="2C5E1D17" wp14:editId="318EB6A1">
            <wp:extent cx="3810000" cy="2857500"/>
            <wp:effectExtent l="0" t="0" r="0" b="0"/>
            <wp:docPr id="8" name="Picture 8" descr="test-trench">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est-trench">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1E22E9">
        <w:rPr>
          <w:rFonts w:ascii="Roboto" w:eastAsia="Times New Roman" w:hAnsi="Roboto" w:cs="Times New Roman"/>
          <w:color w:val="3E3F40"/>
          <w:sz w:val="24"/>
          <w:szCs w:val="24"/>
          <w:lang w:val="en-IE" w:eastAsia="en-IE"/>
        </w:rPr>
        <w:t>An archaeological test-trench</w:t>
      </w:r>
    </w:p>
    <w:p w14:paraId="7BBE1072"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color w:val="3E3F40"/>
          <w:sz w:val="24"/>
          <w:szCs w:val="24"/>
          <w:lang w:val="en-IE" w:eastAsia="en-IE"/>
        </w:rPr>
        <w:t>Test-trenching involves removing topsoil from a long, linear trench, normally with a toothless digger bucket, until undisturbed boulder clay/subsoil is encountered. Removing the topsoil allows the archaeologist to clearly see any archaeological features which may be present in the subsoil, for example ditches, walls, pits or postholes. The trenches can vary in length and are typically 2m wide (the width of digger bucket) by 0.30m deep (depending on the depth of topsoil). In Ballybuckley nine trenches were opened over the geophysical anomalies and these revealed an area of medieval activity to the south of Ballybuckley hillfort.</w:t>
      </w:r>
    </w:p>
    <w:p w14:paraId="4589DCC6"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b/>
          <w:bCs/>
          <w:color w:val="3E3F40"/>
          <w:sz w:val="24"/>
          <w:szCs w:val="24"/>
          <w:lang w:val="en-IE" w:eastAsia="en-IE"/>
        </w:rPr>
        <w:t>The archaeological features found</w:t>
      </w:r>
      <w:r w:rsidRPr="001E22E9">
        <w:rPr>
          <w:rFonts w:ascii="Roboto" w:eastAsia="Times New Roman" w:hAnsi="Roboto" w:cs="Times New Roman"/>
          <w:color w:val="3E3F40"/>
          <w:sz w:val="24"/>
          <w:szCs w:val="24"/>
          <w:lang w:val="en-IE" w:eastAsia="en-IE"/>
        </w:rPr>
        <w:t> </w:t>
      </w:r>
      <w:r w:rsidRPr="001E22E9">
        <w:rPr>
          <w:rFonts w:ascii="Roboto" w:eastAsia="Times New Roman" w:hAnsi="Roboto" w:cs="Times New Roman"/>
          <w:b/>
          <w:bCs/>
          <w:color w:val="3E3F40"/>
          <w:sz w:val="24"/>
          <w:szCs w:val="24"/>
          <w:lang w:val="en-IE" w:eastAsia="en-IE"/>
        </w:rPr>
        <w:t>at Ballybuckley</w:t>
      </w:r>
    </w:p>
    <w:p w14:paraId="54E77F68"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color w:val="3E3F40"/>
          <w:sz w:val="24"/>
          <w:szCs w:val="24"/>
          <w:lang w:val="en-IE" w:eastAsia="en-IE"/>
        </w:rPr>
        <w:t>This area of medieval archaeology was characterised by a number of ditches and pits, three of which were investigated further by excavating sections through their fills. The first feature sectioned consisted of a northeast-southwest orientated ditch, c. 2.5m wide by 0.40m deep that had evidence for a bank along its northern edge. The ditch was filled by two distinct deposits, which contained several sherds of Leinster Cooking ware. This is a medieval pottery type that generally dates from 12</w:t>
      </w:r>
      <w:r w:rsidRPr="001E22E9">
        <w:rPr>
          <w:rFonts w:ascii="Roboto" w:eastAsia="Times New Roman" w:hAnsi="Roboto" w:cs="Times New Roman"/>
          <w:color w:val="3E3F40"/>
          <w:sz w:val="18"/>
          <w:szCs w:val="18"/>
          <w:vertAlign w:val="superscript"/>
          <w:lang w:val="en-IE" w:eastAsia="en-IE"/>
        </w:rPr>
        <w:t>th</w:t>
      </w:r>
      <w:r w:rsidRPr="001E22E9">
        <w:rPr>
          <w:rFonts w:ascii="Roboto" w:eastAsia="Times New Roman" w:hAnsi="Roboto" w:cs="Times New Roman"/>
          <w:color w:val="3E3F40"/>
          <w:sz w:val="24"/>
          <w:szCs w:val="24"/>
          <w:lang w:val="en-IE" w:eastAsia="en-IE"/>
        </w:rPr>
        <w:t>-14</w:t>
      </w:r>
      <w:r w:rsidRPr="001E22E9">
        <w:rPr>
          <w:rFonts w:ascii="Roboto" w:eastAsia="Times New Roman" w:hAnsi="Roboto" w:cs="Times New Roman"/>
          <w:color w:val="3E3F40"/>
          <w:sz w:val="18"/>
          <w:szCs w:val="18"/>
          <w:vertAlign w:val="superscript"/>
          <w:lang w:val="en-IE" w:eastAsia="en-IE"/>
        </w:rPr>
        <w:t>th</w:t>
      </w:r>
      <w:r w:rsidRPr="001E22E9">
        <w:rPr>
          <w:rFonts w:ascii="Roboto" w:eastAsia="Times New Roman" w:hAnsi="Roboto" w:cs="Times New Roman"/>
          <w:color w:val="3E3F40"/>
          <w:sz w:val="24"/>
          <w:szCs w:val="24"/>
          <w:lang w:val="en-IE" w:eastAsia="en-IE"/>
        </w:rPr>
        <w:t>centuries AD.  A stone lined drain, 0.50m wide by 0.30m deep was cut into the base of this ditch.</w:t>
      </w:r>
    </w:p>
    <w:p w14:paraId="500F8CB3" w14:textId="77777777" w:rsidR="001E22E9" w:rsidRPr="001E22E9" w:rsidRDefault="001E22E9" w:rsidP="001E22E9">
      <w:pPr>
        <w:shd w:val="clear" w:color="auto" w:fill="FFFFFF"/>
        <w:spacing w:after="0"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noProof/>
          <w:color w:val="3E3F40"/>
          <w:sz w:val="24"/>
          <w:szCs w:val="24"/>
          <w:lang w:val="en-IE" w:eastAsia="en-IE"/>
        </w:rPr>
        <w:lastRenderedPageBreak/>
        <w:drawing>
          <wp:inline distT="0" distB="0" distL="0" distR="0" wp14:anchorId="4B00FC9A" wp14:editId="7FE79009">
            <wp:extent cx="4991100" cy="3857625"/>
            <wp:effectExtent l="0" t="0" r="0" b="9525"/>
            <wp:docPr id="9" name="Picture 9" descr="dsc_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_00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1100" cy="3857625"/>
                    </a:xfrm>
                    <a:prstGeom prst="rect">
                      <a:avLst/>
                    </a:prstGeom>
                    <a:noFill/>
                    <a:ln>
                      <a:noFill/>
                    </a:ln>
                  </pic:spPr>
                </pic:pic>
              </a:graphicData>
            </a:graphic>
          </wp:inline>
        </w:drawing>
      </w:r>
      <w:r w:rsidRPr="001E22E9">
        <w:rPr>
          <w:rFonts w:ascii="Roboto" w:eastAsia="Times New Roman" w:hAnsi="Roboto" w:cs="Times New Roman"/>
          <w:color w:val="3E3F40"/>
          <w:sz w:val="24"/>
          <w:szCs w:val="24"/>
          <w:lang w:val="en-IE" w:eastAsia="en-IE"/>
        </w:rPr>
        <w:t>Leinster Cooking Ware Pottery (not pieces from Ballybuckley)</w:t>
      </w:r>
    </w:p>
    <w:p w14:paraId="7F9599A6"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color w:val="3E3F40"/>
          <w:sz w:val="24"/>
          <w:szCs w:val="24"/>
          <w:lang w:val="en-IE" w:eastAsia="en-IE"/>
        </w:rPr>
        <w:t xml:space="preserve">The second feature investigated was a curvilinear gully that measured 0.95 wide by 0.60m deep. It had nearly vertical sides, a rounded base and was filled by a single fill from which sherds of Leinster Cooking Ware were also recovered.  The third medieval feature inspected consisted of a northeast/southwest ditch.  It measured c. 1.30m wide by 0.20m deep and was filled by lose stony deposit that contained fifteen sherds of Leinster Cooking Ware pottery.  A number of other features were also identified at this location and although they were not investigated </w:t>
      </w:r>
      <w:proofErr w:type="gramStart"/>
      <w:r w:rsidRPr="001E22E9">
        <w:rPr>
          <w:rFonts w:ascii="Roboto" w:eastAsia="Times New Roman" w:hAnsi="Roboto" w:cs="Times New Roman"/>
          <w:color w:val="3E3F40"/>
          <w:sz w:val="24"/>
          <w:szCs w:val="24"/>
          <w:lang w:val="en-IE" w:eastAsia="en-IE"/>
        </w:rPr>
        <w:t>further</w:t>
      </w:r>
      <w:proofErr w:type="gramEnd"/>
      <w:r w:rsidRPr="001E22E9">
        <w:rPr>
          <w:rFonts w:ascii="Roboto" w:eastAsia="Times New Roman" w:hAnsi="Roboto" w:cs="Times New Roman"/>
          <w:color w:val="3E3F40"/>
          <w:sz w:val="24"/>
          <w:szCs w:val="24"/>
          <w:lang w:val="en-IE" w:eastAsia="en-IE"/>
        </w:rPr>
        <w:t xml:space="preserve"> they are indicative of relatively intensive human activity here.</w:t>
      </w:r>
    </w:p>
    <w:p w14:paraId="2934615A" w14:textId="77777777" w:rsidR="001E22E9" w:rsidRPr="001E22E9" w:rsidRDefault="001E22E9" w:rsidP="001E22E9">
      <w:pPr>
        <w:shd w:val="clear" w:color="auto" w:fill="FFFFFF"/>
        <w:spacing w:after="0"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noProof/>
          <w:color w:val="0000FF"/>
          <w:sz w:val="24"/>
          <w:szCs w:val="24"/>
          <w:lang w:val="en-IE" w:eastAsia="en-IE"/>
        </w:rPr>
        <w:drawing>
          <wp:inline distT="0" distB="0" distL="0" distR="0" wp14:anchorId="718D9F47" wp14:editId="61246A4A">
            <wp:extent cx="5715000" cy="2733675"/>
            <wp:effectExtent l="0" t="0" r="0" b="9525"/>
            <wp:docPr id="10" name="Picture 10" descr="knockduff-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nockduff-3">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2733675"/>
                    </a:xfrm>
                    <a:prstGeom prst="rect">
                      <a:avLst/>
                    </a:prstGeom>
                    <a:noFill/>
                    <a:ln>
                      <a:noFill/>
                    </a:ln>
                  </pic:spPr>
                </pic:pic>
              </a:graphicData>
            </a:graphic>
          </wp:inline>
        </w:drawing>
      </w:r>
      <w:r w:rsidRPr="001E22E9">
        <w:rPr>
          <w:rFonts w:ascii="Roboto" w:eastAsia="Times New Roman" w:hAnsi="Roboto" w:cs="Times New Roman"/>
          <w:color w:val="3E3F40"/>
          <w:sz w:val="24"/>
          <w:szCs w:val="24"/>
          <w:lang w:val="en-IE" w:eastAsia="en-IE"/>
        </w:rPr>
        <w:t>Location of medieval site on 2nd Edition O.S. Map</w:t>
      </w:r>
    </w:p>
    <w:p w14:paraId="598790D6"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b/>
          <w:bCs/>
          <w:color w:val="3E3F40"/>
          <w:sz w:val="24"/>
          <w:szCs w:val="24"/>
          <w:lang w:val="en-IE" w:eastAsia="en-IE"/>
        </w:rPr>
        <w:lastRenderedPageBreak/>
        <w:t>Evidence for a medieval farm/haggard?</w:t>
      </w:r>
    </w:p>
    <w:p w14:paraId="40CC4519"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color w:val="3E3F40"/>
          <w:sz w:val="24"/>
          <w:szCs w:val="24"/>
          <w:lang w:val="en-IE" w:eastAsia="en-IE"/>
        </w:rPr>
        <w:t>On the 1</w:t>
      </w:r>
      <w:r w:rsidRPr="001E22E9">
        <w:rPr>
          <w:rFonts w:ascii="Roboto" w:eastAsia="Times New Roman" w:hAnsi="Roboto" w:cs="Times New Roman"/>
          <w:color w:val="3E3F40"/>
          <w:sz w:val="18"/>
          <w:szCs w:val="18"/>
          <w:vertAlign w:val="superscript"/>
          <w:lang w:val="en-IE" w:eastAsia="en-IE"/>
        </w:rPr>
        <w:t>st</w:t>
      </w:r>
      <w:r w:rsidRPr="001E22E9">
        <w:rPr>
          <w:rFonts w:ascii="Roboto" w:eastAsia="Times New Roman" w:hAnsi="Roboto" w:cs="Times New Roman"/>
          <w:color w:val="3E3F40"/>
          <w:sz w:val="24"/>
          <w:szCs w:val="24"/>
          <w:lang w:val="en-IE" w:eastAsia="en-IE"/>
        </w:rPr>
        <w:t> and 2</w:t>
      </w:r>
      <w:r w:rsidRPr="001E22E9">
        <w:rPr>
          <w:rFonts w:ascii="Roboto" w:eastAsia="Times New Roman" w:hAnsi="Roboto" w:cs="Times New Roman"/>
          <w:color w:val="3E3F40"/>
          <w:sz w:val="18"/>
          <w:szCs w:val="18"/>
          <w:vertAlign w:val="superscript"/>
          <w:lang w:val="en-IE" w:eastAsia="en-IE"/>
        </w:rPr>
        <w:t>nd</w:t>
      </w:r>
      <w:r w:rsidRPr="001E22E9">
        <w:rPr>
          <w:rFonts w:ascii="Roboto" w:eastAsia="Times New Roman" w:hAnsi="Roboto" w:cs="Times New Roman"/>
          <w:color w:val="3E3F40"/>
          <w:sz w:val="24"/>
          <w:szCs w:val="24"/>
          <w:lang w:val="en-IE" w:eastAsia="en-IE"/>
        </w:rPr>
        <w:t> edition Ordnance Survey maps the approximate area where these medieval features are located is occupied by a small sub-rectangular enclosure, which is situated at the end of long laneway (see map above).  It seems likely from the archaeological testing results that this small enclosure dates from the medieval period and that it may represent the remains of settlement site, possibly a farmstead.  Interestingly the medieval features are located in an area that was locally known as ‘</w:t>
      </w:r>
      <w:proofErr w:type="spellStart"/>
      <w:r w:rsidRPr="001E22E9">
        <w:rPr>
          <w:rFonts w:ascii="Roboto" w:eastAsia="Times New Roman" w:hAnsi="Roboto" w:cs="Times New Roman"/>
          <w:color w:val="3E3F40"/>
          <w:sz w:val="24"/>
          <w:szCs w:val="24"/>
          <w:lang w:val="en-IE" w:eastAsia="en-IE"/>
        </w:rPr>
        <w:t>Leacy’s</w:t>
      </w:r>
      <w:proofErr w:type="spellEnd"/>
      <w:r w:rsidRPr="001E22E9">
        <w:rPr>
          <w:rFonts w:ascii="Roboto" w:eastAsia="Times New Roman" w:hAnsi="Roboto" w:cs="Times New Roman"/>
          <w:color w:val="3E3F40"/>
          <w:sz w:val="24"/>
          <w:szCs w:val="24"/>
          <w:lang w:val="en-IE" w:eastAsia="en-IE"/>
        </w:rPr>
        <w:t xml:space="preserve"> hollow’, which tradition suggests was the former site of a chapel</w:t>
      </w:r>
      <w:hyperlink r:id="rId11" w:history="1">
        <w:r w:rsidRPr="001E22E9">
          <w:rPr>
            <w:rFonts w:ascii="Roboto" w:eastAsia="Times New Roman" w:hAnsi="Roboto" w:cs="Times New Roman"/>
            <w:color w:val="000000"/>
            <w:sz w:val="24"/>
            <w:szCs w:val="24"/>
            <w:u w:val="single"/>
            <w:shd w:val="clear" w:color="auto" w:fill="FFDE00"/>
            <w:lang w:val="en-IE" w:eastAsia="en-IE"/>
          </w:rPr>
          <w:t>[i]</w:t>
        </w:r>
      </w:hyperlink>
      <w:r w:rsidRPr="001E22E9">
        <w:rPr>
          <w:rFonts w:ascii="Roboto" w:eastAsia="Times New Roman" w:hAnsi="Roboto" w:cs="Times New Roman"/>
          <w:color w:val="3E3F40"/>
          <w:sz w:val="24"/>
          <w:szCs w:val="24"/>
          <w:lang w:val="en-IE" w:eastAsia="en-IE"/>
        </w:rPr>
        <w:t xml:space="preserve">. This could tie in with an account from 1558 which describes a place called </w:t>
      </w:r>
      <w:proofErr w:type="spellStart"/>
      <w:r w:rsidRPr="001E22E9">
        <w:rPr>
          <w:rFonts w:ascii="Roboto" w:eastAsia="Times New Roman" w:hAnsi="Roboto" w:cs="Times New Roman"/>
          <w:color w:val="3E3F40"/>
          <w:sz w:val="24"/>
          <w:szCs w:val="24"/>
          <w:lang w:val="en-IE" w:eastAsia="en-IE"/>
        </w:rPr>
        <w:t>Prishaggard</w:t>
      </w:r>
      <w:proofErr w:type="spellEnd"/>
      <w:r w:rsidRPr="001E22E9">
        <w:rPr>
          <w:rFonts w:ascii="Roboto" w:eastAsia="Times New Roman" w:hAnsi="Roboto" w:cs="Times New Roman"/>
          <w:color w:val="3E3F40"/>
          <w:sz w:val="24"/>
          <w:szCs w:val="24"/>
          <w:lang w:val="en-IE" w:eastAsia="en-IE"/>
        </w:rPr>
        <w:t>/</w:t>
      </w:r>
      <w:proofErr w:type="spellStart"/>
      <w:r w:rsidRPr="001E22E9">
        <w:rPr>
          <w:rFonts w:ascii="Roboto" w:eastAsia="Times New Roman" w:hAnsi="Roboto" w:cs="Times New Roman"/>
          <w:color w:val="3E3F40"/>
          <w:sz w:val="24"/>
          <w:szCs w:val="24"/>
          <w:lang w:val="en-IE" w:eastAsia="en-IE"/>
        </w:rPr>
        <w:t>Prycehagarde</w:t>
      </w:r>
      <w:proofErr w:type="spellEnd"/>
      <w:r w:rsidRPr="001E22E9">
        <w:rPr>
          <w:rFonts w:ascii="Roboto" w:eastAsia="Times New Roman" w:hAnsi="Roboto" w:cs="Times New Roman"/>
          <w:color w:val="3E3F40"/>
          <w:sz w:val="24"/>
          <w:szCs w:val="24"/>
          <w:lang w:val="en-IE" w:eastAsia="en-IE"/>
        </w:rPr>
        <w:fldChar w:fldCharType="begin"/>
      </w:r>
      <w:r w:rsidRPr="001E22E9">
        <w:rPr>
          <w:rFonts w:ascii="Roboto" w:eastAsia="Times New Roman" w:hAnsi="Roboto" w:cs="Times New Roman"/>
          <w:color w:val="3E3F40"/>
          <w:sz w:val="24"/>
          <w:szCs w:val="24"/>
          <w:lang w:val="en-IE" w:eastAsia="en-IE"/>
        </w:rPr>
        <w:instrText xml:space="preserve"> HYPERLINK "http://archive-ie.com/page/336800/2012-09-30/http:/breeheritage.ie/2012/06/evidence-for-a-medieval-farmstead-at-ballybuckley/" </w:instrText>
      </w:r>
      <w:r w:rsidRPr="001E22E9">
        <w:rPr>
          <w:rFonts w:ascii="Roboto" w:eastAsia="Times New Roman" w:hAnsi="Roboto" w:cs="Times New Roman"/>
          <w:color w:val="3E3F40"/>
          <w:sz w:val="24"/>
          <w:szCs w:val="24"/>
          <w:lang w:val="en-IE" w:eastAsia="en-IE"/>
        </w:rPr>
        <w:fldChar w:fldCharType="separate"/>
      </w:r>
      <w:r w:rsidRPr="001E22E9">
        <w:rPr>
          <w:rFonts w:ascii="Roboto" w:eastAsia="Times New Roman" w:hAnsi="Roboto" w:cs="Times New Roman"/>
          <w:color w:val="000000"/>
          <w:sz w:val="24"/>
          <w:szCs w:val="24"/>
          <w:u w:val="single"/>
          <w:shd w:val="clear" w:color="auto" w:fill="FFDE00"/>
          <w:lang w:val="en-IE" w:eastAsia="en-IE"/>
        </w:rPr>
        <w:t>[ii]</w:t>
      </w:r>
      <w:r w:rsidRPr="001E22E9">
        <w:rPr>
          <w:rFonts w:ascii="Roboto" w:eastAsia="Times New Roman" w:hAnsi="Roboto" w:cs="Times New Roman"/>
          <w:color w:val="3E3F40"/>
          <w:sz w:val="24"/>
          <w:szCs w:val="24"/>
          <w:lang w:val="en-IE" w:eastAsia="en-IE"/>
        </w:rPr>
        <w:fldChar w:fldCharType="end"/>
      </w:r>
      <w:r w:rsidRPr="001E22E9">
        <w:rPr>
          <w:rFonts w:ascii="Roboto" w:eastAsia="Times New Roman" w:hAnsi="Roboto" w:cs="Times New Roman"/>
          <w:color w:val="3E3F40"/>
          <w:sz w:val="24"/>
          <w:szCs w:val="24"/>
          <w:lang w:val="en-IE" w:eastAsia="en-IE"/>
        </w:rPr>
        <w:t xml:space="preserve"> between Ballybuckley and </w:t>
      </w:r>
      <w:proofErr w:type="spellStart"/>
      <w:r w:rsidRPr="001E22E9">
        <w:rPr>
          <w:rFonts w:ascii="Roboto" w:eastAsia="Times New Roman" w:hAnsi="Roboto" w:cs="Times New Roman"/>
          <w:color w:val="3E3F40"/>
          <w:sz w:val="24"/>
          <w:szCs w:val="24"/>
          <w:lang w:val="en-IE" w:eastAsia="en-IE"/>
        </w:rPr>
        <w:t>Knockduff</w:t>
      </w:r>
      <w:proofErr w:type="spellEnd"/>
      <w:r w:rsidRPr="001E22E9">
        <w:rPr>
          <w:rFonts w:ascii="Roboto" w:eastAsia="Times New Roman" w:hAnsi="Roboto" w:cs="Times New Roman"/>
          <w:color w:val="3E3F40"/>
          <w:sz w:val="24"/>
          <w:szCs w:val="24"/>
          <w:lang w:val="en-IE" w:eastAsia="en-IE"/>
        </w:rPr>
        <w:t xml:space="preserve"> (this name no longer survives in the locality). It is likely that this name is a corruption of the Priest’s haggard (farmyard), similar to the townland of </w:t>
      </w:r>
      <w:proofErr w:type="spellStart"/>
      <w:r w:rsidRPr="001E22E9">
        <w:rPr>
          <w:rFonts w:ascii="Roboto" w:eastAsia="Times New Roman" w:hAnsi="Roboto" w:cs="Times New Roman"/>
          <w:color w:val="3E3F40"/>
          <w:sz w:val="24"/>
          <w:szCs w:val="24"/>
          <w:lang w:val="en-IE" w:eastAsia="en-IE"/>
        </w:rPr>
        <w:t>Priesthaggard</w:t>
      </w:r>
      <w:proofErr w:type="spellEnd"/>
      <w:r w:rsidRPr="001E22E9">
        <w:rPr>
          <w:rFonts w:ascii="Roboto" w:eastAsia="Times New Roman" w:hAnsi="Roboto" w:cs="Times New Roman"/>
          <w:color w:val="3E3F40"/>
          <w:sz w:val="24"/>
          <w:szCs w:val="24"/>
          <w:lang w:val="en-IE" w:eastAsia="en-IE"/>
        </w:rPr>
        <w:t xml:space="preserve">, near </w:t>
      </w:r>
      <w:proofErr w:type="spellStart"/>
      <w:r w:rsidRPr="001E22E9">
        <w:rPr>
          <w:rFonts w:ascii="Roboto" w:eastAsia="Times New Roman" w:hAnsi="Roboto" w:cs="Times New Roman"/>
          <w:color w:val="3E3F40"/>
          <w:sz w:val="24"/>
          <w:szCs w:val="24"/>
          <w:lang w:val="en-IE" w:eastAsia="en-IE"/>
        </w:rPr>
        <w:t>Campile</w:t>
      </w:r>
      <w:proofErr w:type="spellEnd"/>
      <w:r w:rsidRPr="001E22E9">
        <w:rPr>
          <w:rFonts w:ascii="Roboto" w:eastAsia="Times New Roman" w:hAnsi="Roboto" w:cs="Times New Roman"/>
          <w:color w:val="3E3F40"/>
          <w:sz w:val="24"/>
          <w:szCs w:val="24"/>
          <w:lang w:val="en-IE" w:eastAsia="en-IE"/>
        </w:rPr>
        <w:t xml:space="preserve"> in the south of the county. This could indicate that the enclosure depicted on the Ordnance Survey maps represents a medieval haggard that once belonged to a cleric. As there are no recorded ancient church sites in the vicinity of ‘</w:t>
      </w:r>
      <w:proofErr w:type="spellStart"/>
      <w:r w:rsidRPr="001E22E9">
        <w:rPr>
          <w:rFonts w:ascii="Roboto" w:eastAsia="Times New Roman" w:hAnsi="Roboto" w:cs="Times New Roman"/>
          <w:color w:val="3E3F40"/>
          <w:sz w:val="24"/>
          <w:szCs w:val="24"/>
          <w:lang w:val="en-IE" w:eastAsia="en-IE"/>
        </w:rPr>
        <w:t>Leacy’s</w:t>
      </w:r>
      <w:proofErr w:type="spellEnd"/>
      <w:r w:rsidRPr="001E22E9">
        <w:rPr>
          <w:rFonts w:ascii="Roboto" w:eastAsia="Times New Roman" w:hAnsi="Roboto" w:cs="Times New Roman"/>
          <w:color w:val="3E3F40"/>
          <w:sz w:val="24"/>
          <w:szCs w:val="24"/>
          <w:lang w:val="en-IE" w:eastAsia="en-IE"/>
        </w:rPr>
        <w:t xml:space="preserve"> hollow’ it is possible that the tradition of a chapel here reflects the sites former association with a priest (the nearby Church of St. John was built in 1829 on a green-field site donated by the Alcock family).</w:t>
      </w:r>
    </w:p>
    <w:p w14:paraId="7783A460" w14:textId="77777777" w:rsidR="001E22E9" w:rsidRPr="001E22E9" w:rsidRDefault="001E22E9" w:rsidP="001E22E9">
      <w:pPr>
        <w:shd w:val="clear" w:color="auto" w:fill="FFFFFF"/>
        <w:spacing w:after="0" w:line="240" w:lineRule="auto"/>
        <w:rPr>
          <w:rFonts w:ascii="Roboto" w:eastAsia="Times New Roman" w:hAnsi="Roboto" w:cs="Times New Roman"/>
          <w:color w:val="3E3F40"/>
          <w:sz w:val="24"/>
          <w:szCs w:val="24"/>
          <w:lang w:val="en-IE" w:eastAsia="en-IE"/>
        </w:rPr>
      </w:pPr>
      <w:r w:rsidRPr="001E22E9">
        <w:rPr>
          <w:rFonts w:ascii="Roboto" w:eastAsia="Times New Roman" w:hAnsi="Roboto" w:cs="Times New Roman"/>
          <w:noProof/>
          <w:color w:val="0000FF"/>
          <w:sz w:val="24"/>
          <w:szCs w:val="24"/>
          <w:lang w:val="en-IE" w:eastAsia="en-IE"/>
        </w:rPr>
        <w:drawing>
          <wp:inline distT="0" distB="0" distL="0" distR="0" wp14:anchorId="4D0E90B1" wp14:editId="42D1C126">
            <wp:extent cx="5715000" cy="3971925"/>
            <wp:effectExtent l="0" t="0" r="0" b="9525"/>
            <wp:docPr id="11" name="Picture 11" descr="qq7cso">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qq7cso">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3971925"/>
                    </a:xfrm>
                    <a:prstGeom prst="rect">
                      <a:avLst/>
                    </a:prstGeom>
                    <a:noFill/>
                    <a:ln>
                      <a:noFill/>
                    </a:ln>
                  </pic:spPr>
                </pic:pic>
              </a:graphicData>
            </a:graphic>
          </wp:inline>
        </w:drawing>
      </w:r>
      <w:r w:rsidRPr="001E22E9">
        <w:rPr>
          <w:rFonts w:ascii="Roboto" w:eastAsia="Times New Roman" w:hAnsi="Roboto" w:cs="Times New Roman"/>
          <w:color w:val="3E3F40"/>
          <w:sz w:val="24"/>
          <w:szCs w:val="24"/>
          <w:lang w:val="en-IE" w:eastAsia="en-IE"/>
        </w:rPr>
        <w:t>Site location map</w:t>
      </w:r>
      <w:r w:rsidRPr="001E22E9">
        <w:rPr>
          <w:rFonts w:ascii="Roboto" w:eastAsia="Times New Roman" w:hAnsi="Roboto" w:cs="Times New Roman"/>
          <w:noProof/>
          <w:color w:val="0000FF"/>
          <w:sz w:val="24"/>
          <w:szCs w:val="24"/>
          <w:lang w:val="en-IE" w:eastAsia="en-IE"/>
        </w:rPr>
        <w:lastRenderedPageBreak/>
        <w:drawing>
          <wp:inline distT="0" distB="0" distL="0" distR="0" wp14:anchorId="03EBA966" wp14:editId="02CE5253">
            <wp:extent cx="5715000" cy="2495550"/>
            <wp:effectExtent l="0" t="0" r="0" b="0"/>
            <wp:docPr id="12" name="Picture 12" descr="Medieval site of 1st edition O.S. map (c.184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edieval site of 1st edition O.S. map (c.1840)">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5000" cy="2495550"/>
                    </a:xfrm>
                    <a:prstGeom prst="rect">
                      <a:avLst/>
                    </a:prstGeom>
                    <a:noFill/>
                    <a:ln>
                      <a:noFill/>
                    </a:ln>
                  </pic:spPr>
                </pic:pic>
              </a:graphicData>
            </a:graphic>
          </wp:inline>
        </w:drawing>
      </w:r>
      <w:r w:rsidRPr="001E22E9">
        <w:rPr>
          <w:rFonts w:ascii="Roboto" w:eastAsia="Times New Roman" w:hAnsi="Roboto" w:cs="Times New Roman"/>
          <w:color w:val="3E3F40"/>
          <w:sz w:val="24"/>
          <w:szCs w:val="24"/>
          <w:lang w:val="en-IE" w:eastAsia="en-IE"/>
        </w:rPr>
        <w:t>Medieval site of 1st edition O.S. map (c.1840)</w:t>
      </w:r>
    </w:p>
    <w:p w14:paraId="1045DDFB"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16" w:history="1">
        <w:r w:rsidRPr="001E22E9">
          <w:rPr>
            <w:rFonts w:ascii="Roboto" w:eastAsia="Times New Roman" w:hAnsi="Roboto" w:cs="Times New Roman"/>
            <w:color w:val="000000"/>
            <w:sz w:val="24"/>
            <w:szCs w:val="24"/>
            <w:u w:val="single"/>
            <w:shd w:val="clear" w:color="auto" w:fill="FFDE00"/>
            <w:lang w:val="en-IE" w:eastAsia="en-IE"/>
          </w:rPr>
          <w:t>[i]</w:t>
        </w:r>
      </w:hyperlink>
      <w:r w:rsidRPr="001E22E9">
        <w:rPr>
          <w:rFonts w:ascii="Roboto" w:eastAsia="Times New Roman" w:hAnsi="Roboto" w:cs="Times New Roman"/>
          <w:color w:val="3E3F40"/>
          <w:sz w:val="24"/>
          <w:szCs w:val="24"/>
          <w:lang w:val="en-IE" w:eastAsia="en-IE"/>
        </w:rPr>
        <w:t> Walsh, D. Bree, The story of a County Wexford parish. Enniscorthy. p.86</w:t>
      </w:r>
    </w:p>
    <w:p w14:paraId="63619743" w14:textId="77777777" w:rsidR="001E22E9" w:rsidRPr="001E22E9" w:rsidRDefault="001E22E9" w:rsidP="001E22E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17" w:history="1">
        <w:r w:rsidRPr="001E22E9">
          <w:rPr>
            <w:rFonts w:ascii="Roboto" w:eastAsia="Times New Roman" w:hAnsi="Roboto" w:cs="Times New Roman"/>
            <w:color w:val="000000"/>
            <w:sz w:val="24"/>
            <w:szCs w:val="24"/>
            <w:u w:val="single"/>
            <w:shd w:val="clear" w:color="auto" w:fill="FFDE00"/>
            <w:lang w:val="en-IE" w:eastAsia="en-IE"/>
          </w:rPr>
          <w:t>[ii]</w:t>
        </w:r>
      </w:hyperlink>
      <w:r w:rsidRPr="001E22E9">
        <w:rPr>
          <w:rFonts w:ascii="Roboto" w:eastAsia="Times New Roman" w:hAnsi="Roboto" w:cs="Times New Roman"/>
          <w:color w:val="3E3F40"/>
          <w:sz w:val="24"/>
          <w:szCs w:val="24"/>
          <w:lang w:val="en-IE" w:eastAsia="en-IE"/>
        </w:rPr>
        <w:t xml:space="preserve"> Halliday, C. 1897. The manuscripts of Charles Halliday, </w:t>
      </w:r>
      <w:proofErr w:type="spellStart"/>
      <w:r w:rsidRPr="001E22E9">
        <w:rPr>
          <w:rFonts w:ascii="Roboto" w:eastAsia="Times New Roman" w:hAnsi="Roboto" w:cs="Times New Roman"/>
          <w:color w:val="3E3F40"/>
          <w:sz w:val="24"/>
          <w:szCs w:val="24"/>
          <w:lang w:val="en-IE" w:eastAsia="en-IE"/>
        </w:rPr>
        <w:t>Esq.</w:t>
      </w:r>
      <w:proofErr w:type="spellEnd"/>
      <w:r w:rsidRPr="001E22E9">
        <w:rPr>
          <w:rFonts w:ascii="Roboto" w:eastAsia="Times New Roman" w:hAnsi="Roboto" w:cs="Times New Roman"/>
          <w:color w:val="3E3F40"/>
          <w:sz w:val="24"/>
          <w:szCs w:val="24"/>
          <w:lang w:val="en-IE" w:eastAsia="en-IE"/>
        </w:rPr>
        <w:t>, of Dublin. Acts of the Privy Council in Ireland, 1556-1571. London</w:t>
      </w:r>
    </w:p>
    <w:p w14:paraId="31F4BE35"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2E9"/>
    <w:rsid w:val="001E22E9"/>
    <w:rsid w:val="005D14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290DA"/>
  <w15:chartTrackingRefBased/>
  <w15:docId w15:val="{4054E7C2-F47D-482B-BB4E-6FCFBE91D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8134861">
      <w:bodyDiv w:val="1"/>
      <w:marLeft w:val="0"/>
      <w:marRight w:val="0"/>
      <w:marTop w:val="0"/>
      <w:marBottom w:val="0"/>
      <w:divBdr>
        <w:top w:val="none" w:sz="0" w:space="0" w:color="auto"/>
        <w:left w:val="none" w:sz="0" w:space="0" w:color="auto"/>
        <w:bottom w:val="none" w:sz="0" w:space="0" w:color="auto"/>
        <w:right w:val="none" w:sz="0" w:space="0" w:color="auto"/>
      </w:divBdr>
      <w:divsChild>
        <w:div w:id="1863665073">
          <w:marLeft w:val="0"/>
          <w:marRight w:val="0"/>
          <w:marTop w:val="0"/>
          <w:marBottom w:val="0"/>
          <w:divBdr>
            <w:top w:val="none" w:sz="0" w:space="0" w:color="auto"/>
            <w:left w:val="none" w:sz="0" w:space="0" w:color="auto"/>
            <w:bottom w:val="none" w:sz="0" w:space="0" w:color="auto"/>
            <w:right w:val="none" w:sz="0" w:space="0" w:color="auto"/>
          </w:divBdr>
          <w:divsChild>
            <w:div w:id="1924533465">
              <w:marLeft w:val="-2700"/>
              <w:marRight w:val="-2700"/>
              <w:marTop w:val="360"/>
              <w:marBottom w:val="360"/>
              <w:divBdr>
                <w:top w:val="none" w:sz="0" w:space="0" w:color="auto"/>
                <w:left w:val="none" w:sz="0" w:space="0" w:color="auto"/>
                <w:bottom w:val="none" w:sz="0" w:space="0" w:color="auto"/>
                <w:right w:val="none" w:sz="0" w:space="0" w:color="auto"/>
              </w:divBdr>
            </w:div>
          </w:divsChild>
        </w:div>
        <w:div w:id="812214788">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breeheritageproject.files.wordpress.com/2016/09/qq7cso1.jpg" TargetMode="External"/><Relationship Id="rId17" Type="http://schemas.openxmlformats.org/officeDocument/2006/relationships/hyperlink" Target="http://archive-ie.com/page/336800/2012-09-30/http:/breeheritage.ie/2012/06/evidence-for-a-medieval-farmstead-at-ballybuckley/" TargetMode="External"/><Relationship Id="rId2" Type="http://schemas.openxmlformats.org/officeDocument/2006/relationships/settings" Target="settings.xml"/><Relationship Id="rId16" Type="http://schemas.openxmlformats.org/officeDocument/2006/relationships/hyperlink" Target="http://archive-ie.com/page/336800/2012-09-30/http:/breeheritage.ie/2012/06/evidence-for-a-medieval-farmstead-at-ballybuckley/" TargetMode="External"/><Relationship Id="rId1" Type="http://schemas.openxmlformats.org/officeDocument/2006/relationships/styles" Target="styles.xml"/><Relationship Id="rId6" Type="http://schemas.openxmlformats.org/officeDocument/2006/relationships/hyperlink" Target="https://breeheritageproject.files.wordpress.com/2016/09/test-trench.jpg" TargetMode="External"/><Relationship Id="rId11" Type="http://schemas.openxmlformats.org/officeDocument/2006/relationships/hyperlink" Target="http://archive-ie.com/page/336800/2012-09-30/http:/breeheritage.ie/2012/06/evidence-for-a-medieval-farmstead-at-ballybuckley/" TargetMode="External"/><Relationship Id="rId5" Type="http://schemas.openxmlformats.org/officeDocument/2006/relationships/hyperlink" Target="http://www.excavations.ie/report/2007/Wexford/0018925/" TargetMode="External"/><Relationship Id="rId15" Type="http://schemas.openxmlformats.org/officeDocument/2006/relationships/image" Target="media/image6.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hyperlink" Target="https://breeheritageproject.files.wordpress.com/2016/09/knockduff-3.jpg" TargetMode="External"/><Relationship Id="rId14" Type="http://schemas.openxmlformats.org/officeDocument/2006/relationships/hyperlink" Target="https://breeheritageproject.files.wordpress.com/2016/09/knockduff-2.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788</Words>
  <Characters>4495</Characters>
  <Application>Microsoft Office Word</Application>
  <DocSecurity>0</DocSecurity>
  <Lines>37</Lines>
  <Paragraphs>10</Paragraphs>
  <ScaleCrop>false</ScaleCrop>
  <Company/>
  <LinksUpToDate>false</LinksUpToDate>
  <CharactersWithSpaces>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2022-05-23T09:40:00Z</dcterms:created>
  <dcterms:modified xsi:type="dcterms:W3CDTF">2022-05-23T09:41:00Z</dcterms:modified>
</cp:coreProperties>
</file>